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455AC0">
      <w:pPr>
        <w:rPr>
          <w:rFonts w:hint="default"/>
        </w:rPr>
      </w:pPr>
      <w:r>
        <w:rPr>
          <w:rFonts w:hint="default"/>
          <w:lang w:val="en-C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4159250</wp:posOffset>
            </wp:positionH>
            <wp:positionV relativeFrom="paragraph">
              <wp:posOffset>16510</wp:posOffset>
            </wp:positionV>
            <wp:extent cx="1330325" cy="1302385"/>
            <wp:effectExtent l="0" t="0" r="10795" b="8255"/>
            <wp:wrapNone/>
            <wp:docPr id="1" name="Picture 1" descr="A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A logo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30325" cy="1302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</w:rPr>
        <w:t>AFLORI ACRES – VENDOR GUIDE</w:t>
      </w:r>
    </w:p>
    <w:p w14:paraId="3434DC47">
      <w:pPr>
        <w:rPr>
          <w:rFonts w:hint="default"/>
        </w:rPr>
      </w:pPr>
      <w:r>
        <w:rPr>
          <w:rFonts w:hint="default"/>
        </w:rPr>
        <w:t>Grand Opening – July 11, 2026</w:t>
      </w:r>
    </w:p>
    <w:p w14:paraId="7A4DC5AD">
      <w:pPr>
        <w:rPr>
          <w:rFonts w:hint="default"/>
        </w:rPr>
      </w:pPr>
      <w:r>
        <w:rPr>
          <w:rFonts w:hint="default"/>
          <w:lang w:val="en-CA"/>
        </w:rPr>
        <w:t xml:space="preserve">7 Osborne Rd </w:t>
      </w:r>
      <w:r>
        <w:rPr>
          <w:rFonts w:hint="default"/>
        </w:rPr>
        <w:t>Athens, Ontario</w:t>
      </w:r>
    </w:p>
    <w:p w14:paraId="25A322A3">
      <w:pPr>
        <w:rPr>
          <w:rFonts w:hint="default"/>
        </w:rPr>
      </w:pPr>
      <w:r>
        <w:rPr>
          <w:rFonts w:hint="default"/>
        </w:rPr>
        <w:t>Event Time: 10:00 AM – 4:00 PM</w:t>
      </w:r>
    </w:p>
    <w:p w14:paraId="186BF6B1">
      <w:pPr>
        <w:rPr>
          <w:rFonts w:hint="default"/>
        </w:rPr>
      </w:pPr>
      <w:r>
        <w:rPr>
          <w:rFonts w:hint="default"/>
        </w:rPr>
        <w:t>Setup: 8:00 AM – 9:45 AM</w:t>
      </w:r>
    </w:p>
    <w:p w14:paraId="4D280908">
      <w:pPr>
        <w:rPr>
          <w:rFonts w:hint="default"/>
        </w:rPr>
      </w:pPr>
      <w:r>
        <w:rPr>
          <w:rFonts w:hint="default"/>
        </w:rPr>
        <w:t>Tear‑down: After 4:00 PM</w:t>
      </w:r>
    </w:p>
    <w:p w14:paraId="19756C5A">
      <w:pPr>
        <w:rPr>
          <w:rFonts w:hint="default"/>
        </w:rPr>
      </w:pPr>
      <w:r>
        <w:rPr>
          <w:rFonts w:hint="default"/>
        </w:rPr>
        <w:t>(Map and booth number provided prior to event)</w:t>
      </w:r>
    </w:p>
    <w:p w14:paraId="0C1AAC51">
      <w:pPr>
        <w:rPr>
          <w:rFonts w:hint="default"/>
        </w:rPr>
      </w:pPr>
    </w:p>
    <w:p w14:paraId="60BA8EBC">
      <w:pPr>
        <w:rPr>
          <w:rFonts w:hint="default"/>
          <w:b/>
          <w:bCs/>
          <w:u w:val="single"/>
        </w:rPr>
      </w:pPr>
      <w:r>
        <w:rPr>
          <w:rFonts w:hint="default"/>
          <w:b/>
          <w:bCs/>
          <w:u w:val="single"/>
        </w:rPr>
        <w:t>Parking</w:t>
      </w:r>
    </w:p>
    <w:p w14:paraId="3CCF46E7">
      <w:pPr>
        <w:rPr>
          <w:rFonts w:hint="default"/>
        </w:rPr>
      </w:pPr>
      <w:r>
        <w:rPr>
          <w:rFonts w:hint="default"/>
        </w:rPr>
        <w:t xml:space="preserve">• </w:t>
      </w:r>
      <w:r>
        <w:rPr>
          <w:rFonts w:hint="default"/>
        </w:rPr>
        <w:tab/>
      </w:r>
      <w:r>
        <w:rPr>
          <w:rFonts w:hint="default"/>
        </w:rPr>
        <w:t>Unload at your booth, then move your vehicle immediately</w:t>
      </w:r>
    </w:p>
    <w:p w14:paraId="37BCAB79">
      <w:pPr>
        <w:rPr>
          <w:rFonts w:hint="default"/>
        </w:rPr>
      </w:pPr>
      <w:r>
        <w:rPr>
          <w:rFonts w:hint="default"/>
        </w:rPr>
        <w:t xml:space="preserve">• </w:t>
      </w:r>
      <w:r>
        <w:rPr>
          <w:rFonts w:hint="default"/>
        </w:rPr>
        <w:tab/>
      </w:r>
      <w:r>
        <w:rPr>
          <w:rFonts w:hint="default"/>
        </w:rPr>
        <w:t>Vendors must park in the designated vendor lot</w:t>
      </w:r>
    </w:p>
    <w:p w14:paraId="50512076">
      <w:pPr>
        <w:rPr>
          <w:rFonts w:hint="default"/>
          <w:b/>
          <w:bCs/>
          <w:u w:val="single"/>
        </w:rPr>
      </w:pPr>
    </w:p>
    <w:p w14:paraId="6ED825AC">
      <w:pPr>
        <w:rPr>
          <w:rFonts w:hint="default"/>
          <w:b/>
          <w:bCs/>
          <w:u w:val="single"/>
        </w:rPr>
      </w:pPr>
      <w:r>
        <w:rPr>
          <w:rFonts w:hint="default"/>
          <w:b/>
          <w:bCs/>
          <w:u w:val="single"/>
        </w:rPr>
        <w:t>Booth Details</w:t>
      </w:r>
    </w:p>
    <w:p w14:paraId="54FA7878">
      <w:pPr>
        <w:rPr>
          <w:rFonts w:hint="default"/>
        </w:rPr>
      </w:pPr>
      <w:r>
        <w:rPr>
          <w:rFonts w:hint="default"/>
        </w:rPr>
        <w:t xml:space="preserve">• </w:t>
      </w:r>
      <w:r>
        <w:rPr>
          <w:rFonts w:hint="default"/>
        </w:rPr>
        <w:tab/>
      </w:r>
      <w:r>
        <w:rPr>
          <w:rFonts w:hint="default"/>
        </w:rPr>
        <w:t>Standard space: 12’ x 10’</w:t>
      </w:r>
    </w:p>
    <w:p w14:paraId="1DFED85F">
      <w:pPr>
        <w:rPr>
          <w:rFonts w:hint="default"/>
        </w:rPr>
      </w:pPr>
      <w:r>
        <w:rPr>
          <w:rFonts w:hint="default"/>
        </w:rPr>
        <w:t xml:space="preserve">• </w:t>
      </w:r>
      <w:r>
        <w:rPr>
          <w:rFonts w:hint="default"/>
        </w:rPr>
        <w:tab/>
      </w:r>
      <w:r>
        <w:rPr>
          <w:rFonts w:hint="default"/>
        </w:rPr>
        <w:t>Outdoor terrain: grass, gravel, uneven ground</w:t>
      </w:r>
    </w:p>
    <w:p w14:paraId="771B93C9">
      <w:pPr>
        <w:rPr>
          <w:rFonts w:hint="default"/>
        </w:rPr>
      </w:pPr>
      <w:r>
        <w:rPr>
          <w:rFonts w:hint="default"/>
        </w:rPr>
        <w:t xml:space="preserve">• </w:t>
      </w:r>
      <w:r>
        <w:rPr>
          <w:rFonts w:hint="default"/>
        </w:rPr>
        <w:tab/>
      </w:r>
      <w:r>
        <w:rPr>
          <w:rFonts w:hint="default"/>
        </w:rPr>
        <w:t>Vendors must bring tents, tables, chairs, and displays</w:t>
      </w:r>
    </w:p>
    <w:p w14:paraId="1009A84F">
      <w:pPr>
        <w:rPr>
          <w:rFonts w:hint="default"/>
        </w:rPr>
      </w:pPr>
      <w:r>
        <w:rPr>
          <w:rFonts w:hint="default"/>
        </w:rPr>
        <w:t xml:space="preserve">• </w:t>
      </w:r>
      <w:r>
        <w:rPr>
          <w:rFonts w:hint="default"/>
        </w:rPr>
        <w:tab/>
      </w:r>
      <w:r>
        <w:rPr>
          <w:rFonts w:hint="default"/>
        </w:rPr>
        <w:t>Tent weights are mandatory</w:t>
      </w:r>
    </w:p>
    <w:p w14:paraId="74539B45">
      <w:pPr>
        <w:rPr>
          <w:rFonts w:hint="default"/>
          <w:b/>
          <w:bCs/>
          <w:u w:val="single"/>
        </w:rPr>
      </w:pPr>
    </w:p>
    <w:p w14:paraId="77816632">
      <w:pPr>
        <w:rPr>
          <w:rFonts w:hint="default"/>
          <w:b/>
          <w:bCs/>
          <w:u w:val="single"/>
        </w:rPr>
      </w:pPr>
      <w:r>
        <w:rPr>
          <w:rFonts w:hint="default"/>
          <w:b/>
          <w:bCs/>
          <w:u w:val="single"/>
        </w:rPr>
        <w:t>Food Vendors</w:t>
      </w:r>
    </w:p>
    <w:p w14:paraId="6AD378B4">
      <w:pPr>
        <w:rPr>
          <w:rFonts w:hint="default"/>
        </w:rPr>
      </w:pPr>
      <w:r>
        <w:rPr>
          <w:rFonts w:hint="default"/>
        </w:rPr>
        <w:t xml:space="preserve">• </w:t>
      </w:r>
      <w:r>
        <w:rPr>
          <w:rFonts w:hint="default"/>
        </w:rPr>
        <w:tab/>
      </w:r>
      <w:r>
        <w:rPr>
          <w:rFonts w:hint="default"/>
        </w:rPr>
        <w:t>Must be health unit certified</w:t>
      </w:r>
    </w:p>
    <w:p w14:paraId="77220B86">
      <w:pPr>
        <w:rPr>
          <w:rFonts w:hint="default"/>
        </w:rPr>
      </w:pPr>
      <w:r>
        <w:rPr>
          <w:rFonts w:hint="default"/>
        </w:rPr>
        <w:t xml:space="preserve">• </w:t>
      </w:r>
      <w:r>
        <w:rPr>
          <w:rFonts w:hint="default"/>
        </w:rPr>
        <w:tab/>
      </w:r>
      <w:r>
        <w:rPr>
          <w:rFonts w:hint="default"/>
        </w:rPr>
        <w:t>Proof of certification required</w:t>
      </w:r>
    </w:p>
    <w:p w14:paraId="00F6E38E">
      <w:pPr>
        <w:rPr>
          <w:rFonts w:hint="default"/>
        </w:rPr>
      </w:pPr>
      <w:r>
        <w:rPr>
          <w:rFonts w:hint="default"/>
        </w:rPr>
        <w:t xml:space="preserve">• </w:t>
      </w:r>
      <w:r>
        <w:rPr>
          <w:rFonts w:hint="default"/>
        </w:rPr>
        <w:tab/>
      </w:r>
      <w:r>
        <w:rPr>
          <w:rFonts w:hint="default"/>
        </w:rPr>
        <w:t>Only quiet/non‑gas generators permitted unless pre‑approved</w:t>
      </w:r>
    </w:p>
    <w:p w14:paraId="03996590">
      <w:pPr>
        <w:rPr>
          <w:rFonts w:hint="default"/>
          <w:b/>
          <w:bCs/>
          <w:u w:val="single"/>
        </w:rPr>
      </w:pPr>
    </w:p>
    <w:p w14:paraId="66C2E273">
      <w:pPr>
        <w:rPr>
          <w:rFonts w:hint="default"/>
          <w:b/>
          <w:bCs/>
          <w:u w:val="single"/>
        </w:rPr>
      </w:pPr>
      <w:r>
        <w:rPr>
          <w:rFonts w:hint="default"/>
          <w:b/>
          <w:bCs/>
          <w:u w:val="single"/>
        </w:rPr>
        <w:t>Insurance</w:t>
      </w:r>
    </w:p>
    <w:p w14:paraId="3DBE503C">
      <w:pPr>
        <w:rPr>
          <w:rFonts w:hint="default"/>
        </w:rPr>
      </w:pPr>
      <w:r>
        <w:rPr>
          <w:rFonts w:hint="default"/>
        </w:rPr>
        <w:t xml:space="preserve">• </w:t>
      </w:r>
      <w:r>
        <w:rPr>
          <w:rFonts w:hint="default"/>
        </w:rPr>
        <w:tab/>
      </w:r>
      <w:r>
        <w:rPr>
          <w:rFonts w:hint="default"/>
        </w:rPr>
        <w:t>All vendors must provide proof of $2M liability insurance</w:t>
      </w:r>
    </w:p>
    <w:p w14:paraId="3F94BED7">
      <w:pPr>
        <w:rPr>
          <w:rFonts w:hint="default"/>
          <w:lang w:val="en-CA"/>
        </w:rPr>
      </w:pPr>
      <w:r>
        <w:rPr>
          <w:rFonts w:hint="default"/>
        </w:rPr>
        <w:t xml:space="preserve">• </w:t>
      </w:r>
      <w:r>
        <w:rPr>
          <w:rFonts w:hint="default"/>
        </w:rPr>
        <w:tab/>
      </w:r>
      <w:r>
        <w:rPr>
          <w:rFonts w:hint="default"/>
        </w:rPr>
        <w:t>DUUO (Cooperators) da</w:t>
      </w:r>
      <w:r>
        <w:rPr>
          <w:rFonts w:hint="default"/>
          <w:lang w:val="en-CA"/>
        </w:rPr>
        <w:t xml:space="preserve">y </w:t>
      </w:r>
      <w:r>
        <w:rPr>
          <w:rFonts w:hint="default"/>
        </w:rPr>
        <w:t>of coverage available</w:t>
      </w:r>
      <w:r>
        <w:rPr>
          <w:rFonts w:hint="default"/>
          <w:lang w:val="en-CA"/>
        </w:rPr>
        <w:t xml:space="preserve"> cost is minimal (under $20)</w:t>
      </w:r>
      <w:bookmarkStart w:id="0" w:name="_GoBack"/>
      <w:bookmarkEnd w:id="0"/>
    </w:p>
    <w:p w14:paraId="322A28B7">
      <w:pPr>
        <w:rPr>
          <w:rFonts w:hint="default"/>
        </w:rPr>
      </w:pPr>
      <w:r>
        <w:rPr>
          <w:rFonts w:hint="default"/>
        </w:rPr>
        <w:t xml:space="preserve">• </w:t>
      </w:r>
      <w:r>
        <w:rPr>
          <w:rFonts w:hint="default"/>
        </w:rPr>
        <w:tab/>
      </w:r>
      <w:r>
        <w:rPr>
          <w:rFonts w:hint="default"/>
        </w:rPr>
        <w:t>Do not purchase until your spot is confirmed</w:t>
      </w:r>
    </w:p>
    <w:p w14:paraId="6BDA5405">
      <w:pPr>
        <w:rPr>
          <w:rFonts w:hint="default"/>
          <w:lang w:val="en-CA"/>
        </w:rPr>
      </w:pPr>
      <w:r>
        <w:rPr>
          <w:rFonts w:hint="default"/>
          <w:lang w:val="en-CA"/>
        </w:rPr>
        <w:t>Please refer to Vendor Insurance Handout</w:t>
      </w:r>
    </w:p>
    <w:p w14:paraId="185DF25F">
      <w:pPr>
        <w:rPr>
          <w:rFonts w:hint="default"/>
          <w:b/>
          <w:bCs/>
          <w:u w:val="single"/>
        </w:rPr>
      </w:pPr>
    </w:p>
    <w:p w14:paraId="1711FF18">
      <w:pPr>
        <w:rPr>
          <w:rFonts w:hint="default"/>
          <w:b/>
          <w:bCs/>
          <w:u w:val="single"/>
        </w:rPr>
      </w:pPr>
      <w:r>
        <w:rPr>
          <w:rFonts w:hint="default"/>
          <w:b/>
          <w:bCs/>
          <w:u w:val="single"/>
        </w:rPr>
        <w:t>Payments</w:t>
      </w:r>
    </w:p>
    <w:p w14:paraId="03D98757">
      <w:pPr>
        <w:rPr>
          <w:rFonts w:hint="default"/>
          <w:lang w:val="en-CA"/>
        </w:rPr>
      </w:pPr>
      <w:r>
        <w:rPr>
          <w:rFonts w:hint="default"/>
        </w:rPr>
        <w:t xml:space="preserve">• </w:t>
      </w:r>
      <w:r>
        <w:rPr>
          <w:rFonts w:hint="default"/>
        </w:rPr>
        <w:tab/>
      </w:r>
      <w:r>
        <w:rPr>
          <w:rFonts w:hint="default"/>
        </w:rPr>
        <w:t>E‑transfer</w:t>
      </w:r>
      <w:r>
        <w:rPr>
          <w:rFonts w:hint="default"/>
          <w:lang w:val="en-CA"/>
        </w:rPr>
        <w:t xml:space="preserve"> lorib_1221@yahoo.ca</w:t>
      </w:r>
    </w:p>
    <w:p w14:paraId="2ED3C5F2">
      <w:pPr>
        <w:rPr>
          <w:rFonts w:hint="default"/>
          <w:lang w:val="en-CA"/>
        </w:rPr>
      </w:pPr>
      <w:r>
        <w:rPr>
          <w:rFonts w:hint="default"/>
        </w:rPr>
        <w:t xml:space="preserve">• </w:t>
      </w:r>
      <w:r>
        <w:rPr>
          <w:rFonts w:hint="default"/>
        </w:rPr>
        <w:tab/>
      </w:r>
      <w:r>
        <w:rPr>
          <w:rFonts w:hint="default"/>
        </w:rPr>
        <w:t xml:space="preserve">Payment due </w:t>
      </w:r>
      <w:r>
        <w:rPr>
          <w:rFonts w:hint="default"/>
          <w:lang w:val="en-CA"/>
        </w:rPr>
        <w:t>May</w:t>
      </w:r>
      <w:r>
        <w:rPr>
          <w:rFonts w:hint="default"/>
        </w:rPr>
        <w:t xml:space="preserve"> 1, 2026 to secure your space</w:t>
      </w:r>
      <w:r>
        <w:rPr>
          <w:rFonts w:hint="default"/>
          <w:lang w:val="en-CA"/>
        </w:rPr>
        <w:t xml:space="preserve"> with proof of insurance</w:t>
      </w:r>
    </w:p>
    <w:p w14:paraId="603EAE68">
      <w:pPr>
        <w:rPr>
          <w:rFonts w:hint="default"/>
          <w:b/>
          <w:bCs/>
          <w:u w:val="single"/>
        </w:rPr>
      </w:pPr>
    </w:p>
    <w:p w14:paraId="06D9572B">
      <w:pPr>
        <w:rPr>
          <w:rFonts w:hint="default"/>
          <w:b/>
          <w:bCs/>
          <w:u w:val="single"/>
        </w:rPr>
      </w:pPr>
      <w:r>
        <w:rPr>
          <w:rFonts w:hint="default"/>
          <w:b/>
          <w:bCs/>
          <w:u w:val="single"/>
        </w:rPr>
        <w:t>Connectivity</w:t>
      </w:r>
    </w:p>
    <w:p w14:paraId="2E2F7754">
      <w:pPr>
        <w:rPr>
          <w:rFonts w:hint="default"/>
        </w:rPr>
      </w:pPr>
      <w:r>
        <w:rPr>
          <w:rFonts w:hint="default"/>
        </w:rPr>
        <w:t xml:space="preserve">• </w:t>
      </w:r>
      <w:r>
        <w:rPr>
          <w:rFonts w:hint="default"/>
        </w:rPr>
        <w:tab/>
      </w:r>
      <w:r>
        <w:rPr>
          <w:rFonts w:hint="default"/>
        </w:rPr>
        <w:t>Wi‑Fi is limited</w:t>
      </w:r>
    </w:p>
    <w:p w14:paraId="40A7ED1D">
      <w:pPr>
        <w:rPr>
          <w:rFonts w:hint="default"/>
        </w:rPr>
      </w:pPr>
      <w:r>
        <w:rPr>
          <w:rFonts w:hint="default"/>
        </w:rPr>
        <w:t xml:space="preserve">• </w:t>
      </w:r>
      <w:r>
        <w:rPr>
          <w:rFonts w:hint="default"/>
        </w:rPr>
        <w:tab/>
      </w:r>
      <w:r>
        <w:rPr>
          <w:rFonts w:hint="default"/>
        </w:rPr>
        <w:t>Cell service may be spotty</w:t>
      </w:r>
    </w:p>
    <w:p w14:paraId="5B7C7612">
      <w:pPr>
        <w:rPr>
          <w:rFonts w:hint="default"/>
        </w:rPr>
      </w:pPr>
      <w:r>
        <w:rPr>
          <w:rFonts w:hint="default"/>
        </w:rPr>
        <w:t xml:space="preserve">• </w:t>
      </w:r>
      <w:r>
        <w:rPr>
          <w:rFonts w:hint="default"/>
        </w:rPr>
        <w:tab/>
      </w:r>
      <w:r>
        <w:rPr>
          <w:rFonts w:hint="default"/>
        </w:rPr>
        <w:t>Bring mobile data or be prepared for cash sales</w:t>
      </w:r>
    </w:p>
    <w:p w14:paraId="060990DA">
      <w:pPr>
        <w:rPr>
          <w:rFonts w:hint="default"/>
          <w:b/>
          <w:bCs/>
          <w:u w:val="single"/>
        </w:rPr>
      </w:pPr>
    </w:p>
    <w:p w14:paraId="6CC60B32">
      <w:pPr>
        <w:rPr>
          <w:rFonts w:hint="default"/>
          <w:b/>
          <w:bCs/>
          <w:u w:val="single"/>
        </w:rPr>
      </w:pPr>
      <w:r>
        <w:rPr>
          <w:rFonts w:hint="default"/>
          <w:b/>
          <w:bCs/>
          <w:u w:val="single"/>
        </w:rPr>
        <w:t>Weather</w:t>
      </w:r>
    </w:p>
    <w:p w14:paraId="3A73C147">
      <w:pPr>
        <w:rPr>
          <w:rFonts w:hint="default"/>
        </w:rPr>
      </w:pPr>
      <w:r>
        <w:rPr>
          <w:rFonts w:hint="default"/>
        </w:rPr>
        <w:t>Rain or shine — prepare for sun, wind, or showers.</w:t>
      </w:r>
    </w:p>
    <w:p w14:paraId="7C026E33">
      <w:pPr>
        <w:rPr>
          <w:rFonts w:hint="default"/>
          <w:b/>
          <w:bCs/>
          <w:u w:val="single"/>
        </w:rPr>
      </w:pPr>
    </w:p>
    <w:p w14:paraId="338A5F77">
      <w:pPr>
        <w:rPr>
          <w:rFonts w:hint="default"/>
        </w:rPr>
      </w:pPr>
      <w:r>
        <w:rPr>
          <w:rFonts w:hint="default"/>
          <w:b/>
          <w:bCs/>
          <w:u w:val="single"/>
        </w:rPr>
        <w:t>Contact</w:t>
      </w:r>
    </w:p>
    <w:p w14:paraId="4D998489">
      <w:pPr>
        <w:rPr>
          <w:rFonts w:hint="default"/>
        </w:rPr>
      </w:pPr>
      <w:r>
        <w:rPr>
          <w:rFonts w:hint="default"/>
        </w:rPr>
        <w:t>Lori – Event Coordinator</w:t>
      </w:r>
    </w:p>
    <w:p w14:paraId="1256133A">
      <w:pPr>
        <w:rPr>
          <w:rFonts w:hint="default"/>
          <w:lang w:val="en-CA"/>
        </w:rPr>
      </w:pPr>
      <w:r>
        <w:rPr>
          <w:rFonts w:hint="default"/>
        </w:rPr>
        <w:t>afloriacres@gmail.co</w:t>
      </w:r>
      <w:r>
        <w:rPr>
          <w:rFonts w:hint="default"/>
          <w:lang w:val="en-CA"/>
        </w:rPr>
        <w:t>m</w:t>
      </w:r>
    </w:p>
    <w:sectPr>
      <w:pgSz w:w="11906" w:h="16838"/>
      <w:pgMar w:top="720" w:right="720" w:bottom="720" w:left="72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1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252D29"/>
    <w:rsid w:val="27593B6D"/>
    <w:rsid w:val="29F35251"/>
    <w:rsid w:val="44252D29"/>
    <w:rsid w:val="4FB216C3"/>
    <w:rsid w:val="6CA2084A"/>
    <w:rsid w:val="6E495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47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2026-01-28T18:07:00Z</dcterms:created>
  <dc:creator>WPS_1619012148</dc:creator>
  <cp:lastModifiedBy>WPS_1619012148</cp:lastModifiedBy>
  <dcterms:modified xsi:type="dcterms:W3CDTF">2026-01-28T19:35:18Z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E9E8623C194B4642BE0ED14F88781FC3_11</vt:lpwstr>
  </property>
</Properties>
</file>